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55913" w14:textId="77777777" w:rsidR="00404B27" w:rsidRDefault="00404B27">
      <w:pPr>
        <w:pStyle w:val="Corpsdetexte"/>
        <w:spacing w:before="173"/>
        <w:rPr>
          <w:rFonts w:ascii="Bitter" w:hAnsi="Bitter"/>
          <w:sz w:val="24"/>
          <w:szCs w:val="24"/>
        </w:rPr>
      </w:pPr>
    </w:p>
    <w:p w14:paraId="70709A7F" w14:textId="19C790F5" w:rsidR="009D0AAC" w:rsidRPr="00AA39AC" w:rsidRDefault="00D05D27" w:rsidP="009D0AAC">
      <w:pPr>
        <w:spacing w:after="80" w:line="27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Bitter" w:eastAsia="Times New Roman" w:hAnsi="Bitter" w:cs="Times New Roman"/>
          <w:b/>
          <w:bCs/>
          <w:color w:val="000000"/>
          <w:sz w:val="36"/>
          <w:szCs w:val="36"/>
          <w:lang w:eastAsia="fr-FR"/>
        </w:rPr>
        <w:t>Article</w:t>
      </w:r>
    </w:p>
    <w:p w14:paraId="396B5070" w14:textId="77777777" w:rsidR="009D0AAC" w:rsidRPr="00AA39AC" w:rsidRDefault="009D0AAC" w:rsidP="009D0AAC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FF21EB8" w14:textId="77777777" w:rsidR="00367BDB" w:rsidRDefault="00367BDB" w:rsidP="009D0AAC">
      <w:pPr>
        <w:spacing w:after="80" w:line="276" w:lineRule="auto"/>
        <w:jc w:val="both"/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</w:pPr>
      <w:r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  <w:t>Associations, décrochez l’étoile !</w:t>
      </w:r>
    </w:p>
    <w:p w14:paraId="7FFE5917" w14:textId="4E01F189" w:rsidR="00367BDB" w:rsidRDefault="00367BDB" w:rsidP="009D0AAC">
      <w:pPr>
        <w:spacing w:after="80" w:line="276" w:lineRule="auto"/>
        <w:jc w:val="both"/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</w:pPr>
      <w:r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  <w:t>Lance</w:t>
      </w:r>
      <w:r w:rsidR="008F0DAD"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  <w:t xml:space="preserve">ment de </w:t>
      </w:r>
      <w:r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  <w:t>la 3</w:t>
      </w:r>
      <w:r w:rsidRPr="00367BDB">
        <w:rPr>
          <w:rFonts w:ascii="Bitter" w:eastAsia="Times New Roman" w:hAnsi="Bitter" w:cs="Times New Roman"/>
          <w:color w:val="000000"/>
          <w:shd w:val="clear" w:color="auto" w:fill="FFFFFF" w:themeFill="background1"/>
          <w:vertAlign w:val="superscript"/>
          <w:lang w:eastAsia="fr-FR"/>
        </w:rPr>
        <w:t>ème</w:t>
      </w:r>
      <w:r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  <w:t xml:space="preserve"> édition des Waldeck</w:t>
      </w:r>
      <w:r w:rsidR="008F0DAD"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  <w:t>, Prix du Mouvement associatif</w:t>
      </w:r>
    </w:p>
    <w:p w14:paraId="0DCCB225" w14:textId="77777777" w:rsidR="00367BDB" w:rsidRDefault="00367BDB" w:rsidP="009D0AAC">
      <w:pPr>
        <w:spacing w:after="80" w:line="276" w:lineRule="auto"/>
        <w:jc w:val="both"/>
        <w:rPr>
          <w:rFonts w:ascii="Bitter" w:eastAsia="Times New Roman" w:hAnsi="Bitter" w:cs="Times New Roman"/>
          <w:color w:val="000000"/>
          <w:shd w:val="clear" w:color="auto" w:fill="FFFFFF" w:themeFill="background1"/>
          <w:lang w:eastAsia="fr-FR"/>
        </w:rPr>
      </w:pPr>
    </w:p>
    <w:p w14:paraId="228D7703" w14:textId="77777777" w:rsidR="008F0DAD" w:rsidRDefault="009D0AAC" w:rsidP="009D0AAC">
      <w:pPr>
        <w:spacing w:after="80" w:line="276" w:lineRule="auto"/>
        <w:jc w:val="both"/>
        <w:rPr>
          <w:rFonts w:asciiTheme="minorHAnsi" w:eastAsia="Times New Roman" w:hAnsiTheme="minorHAnsi" w:cs="Times New Roman"/>
          <w:color w:val="000000"/>
          <w:lang w:eastAsia="fr-FR"/>
        </w:rPr>
      </w:pPr>
      <w:r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Cet été, les jeux olympiques et paralympiques de Paris ont</w:t>
      </w:r>
      <w:r w:rsidR="00367BDB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 été un brillant révélateur</w:t>
      </w:r>
      <w:r w:rsidR="00B111AA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, </w:t>
      </w:r>
      <w:r w:rsidR="00C647C4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si besoin est</w:t>
      </w:r>
      <w:r w:rsidR="00B111AA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, </w:t>
      </w:r>
      <w:r w:rsidR="00367BDB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de </w:t>
      </w:r>
      <w:r w:rsidR="00B111AA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la</w:t>
      </w:r>
      <w:r w:rsidR="00367BDB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 force associative et de ses bienfaits sur la cohésion et l</w:t>
      </w:r>
      <w:r w:rsidR="00B111AA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a vitalité de la société française.</w:t>
      </w:r>
      <w:r w:rsidR="00367BDB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 Mais, </w:t>
      </w:r>
      <w:r w:rsidR="00B111AA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rappelons que </w:t>
      </w:r>
      <w:r w:rsidR="00367BDB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les associations</w:t>
      </w:r>
      <w:r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 doivent </w:t>
      </w:r>
      <w:r w:rsid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aujourd’hui </w:t>
      </w:r>
      <w:r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composer avec un contexte politique, social, économique de plus en plus </w:t>
      </w:r>
      <w:r w:rsidR="00EF3D25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complexe</w:t>
      </w:r>
      <w:r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,</w:t>
      </w:r>
      <w:r w:rsidR="00EF3D25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 parfois même hostile. Pour continuer à mener à bien leurs actions</w:t>
      </w:r>
      <w:r w:rsid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 xml:space="preserve"> au service de l’intérêt général</w:t>
      </w:r>
      <w:r w:rsidR="00EF3D25" w:rsidRPr="00D05D27">
        <w:rPr>
          <w:rFonts w:asciiTheme="minorHAnsi" w:eastAsia="Times New Roman" w:hAnsiTheme="minorHAnsi" w:cs="Times New Roman"/>
          <w:color w:val="000000"/>
          <w:shd w:val="clear" w:color="auto" w:fill="FFFFFF" w:themeFill="background1"/>
          <w:lang w:eastAsia="fr-FR"/>
        </w:rPr>
        <w:t>,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 elles font preuve d’agilité et d’innovation, notamment en interne : </w:t>
      </w:r>
      <w:r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 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>e</w:t>
      </w:r>
      <w:r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lles développent de nouvelles pratiques, de nouvelles façons de gouverner, d’animer leurs équipes, de piloter leurs projets... </w:t>
      </w:r>
    </w:p>
    <w:p w14:paraId="1AB1584E" w14:textId="50568732" w:rsidR="00B111AA" w:rsidRPr="008F0DAD" w:rsidRDefault="00367BDB" w:rsidP="009D0AAC">
      <w:pPr>
        <w:spacing w:after="80" w:line="276" w:lineRule="auto"/>
        <w:jc w:val="both"/>
        <w:rPr>
          <w:rFonts w:asciiTheme="minorHAnsi" w:eastAsia="Times New Roman" w:hAnsiTheme="minorHAnsi" w:cs="Times New Roman"/>
          <w:b/>
          <w:bCs/>
          <w:sz w:val="24"/>
          <w:szCs w:val="24"/>
          <w:shd w:val="clear" w:color="auto" w:fill="FFFFFF" w:themeFill="background1"/>
          <w:lang w:eastAsia="fr-FR"/>
        </w:rPr>
      </w:pPr>
      <w:r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>Le</w:t>
      </w:r>
      <w:r w:rsidR="00B111AA"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>s Waldeck, Prix du</w:t>
      </w:r>
      <w:r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 xml:space="preserve"> Mouvement associatif </w:t>
      </w:r>
      <w:r w:rsidR="00B111AA"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 xml:space="preserve">ont pour objectif de </w:t>
      </w:r>
      <w:r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>valorise</w:t>
      </w:r>
      <w:r w:rsidR="00B111AA"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>r</w:t>
      </w:r>
      <w:r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 xml:space="preserve"> et prom</w:t>
      </w:r>
      <w:r w:rsidR="00B111AA"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 xml:space="preserve">ouvoir </w:t>
      </w:r>
      <w:r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>ces pratiques inspirantes</w:t>
      </w:r>
      <w:r w:rsidR="00B111AA" w:rsidRPr="008F0DAD">
        <w:rPr>
          <w:rFonts w:asciiTheme="minorHAnsi" w:eastAsia="Times New Roman" w:hAnsiTheme="minorHAnsi" w:cs="Times New Roman"/>
          <w:b/>
          <w:bCs/>
          <w:color w:val="000000"/>
          <w:lang w:eastAsia="fr-FR"/>
        </w:rPr>
        <w:t>.</w:t>
      </w:r>
    </w:p>
    <w:p w14:paraId="04613C16" w14:textId="77777777" w:rsidR="00AF37BA" w:rsidRDefault="00B111AA" w:rsidP="00EF3D25">
      <w:pPr>
        <w:spacing w:after="80" w:line="276" w:lineRule="auto"/>
        <w:jc w:val="both"/>
        <w:rPr>
          <w:rFonts w:asciiTheme="minorHAnsi" w:eastAsia="Times New Roman" w:hAnsiTheme="minorHAnsi" w:cs="Times New Roman"/>
          <w:color w:val="000000"/>
          <w:lang w:eastAsia="fr-FR"/>
        </w:rPr>
      </w:pPr>
      <w:r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Cette année, 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les associations seront primées dans 5 catégories : </w:t>
      </w:r>
    </w:p>
    <w:p w14:paraId="35D74B51" w14:textId="5A1ADBFD" w:rsidR="00AF37BA" w:rsidRDefault="00AF37BA" w:rsidP="00AF37BA">
      <w:pPr>
        <w:pStyle w:val="Paragraphedeliste"/>
        <w:numPr>
          <w:ilvl w:val="0"/>
          <w:numId w:val="4"/>
        </w:numPr>
        <w:spacing w:after="80" w:line="276" w:lineRule="auto"/>
        <w:rPr>
          <w:rFonts w:asciiTheme="minorHAnsi" w:eastAsia="Times New Roman" w:hAnsiTheme="minorHAnsi" w:cs="Times New Roman"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color w:val="000000"/>
          <w:lang w:eastAsia="fr-FR"/>
        </w:rPr>
        <w:t>Emploi</w:t>
      </w:r>
      <w:r w:rsidR="00EF3D25" w:rsidRPr="00AF37BA">
        <w:rPr>
          <w:rFonts w:asciiTheme="minorHAnsi" w:eastAsia="Times New Roman" w:hAnsiTheme="minorHAnsi" w:cs="Times New Roman"/>
          <w:color w:val="000000"/>
          <w:lang w:eastAsia="fr-FR"/>
        </w:rPr>
        <w:t xml:space="preserve">, </w:t>
      </w:r>
    </w:p>
    <w:p w14:paraId="53B20A70" w14:textId="7CE42655" w:rsidR="00AF37BA" w:rsidRDefault="00AF37BA" w:rsidP="00AF37BA">
      <w:pPr>
        <w:pStyle w:val="Paragraphedeliste"/>
        <w:numPr>
          <w:ilvl w:val="0"/>
          <w:numId w:val="4"/>
        </w:numPr>
        <w:spacing w:after="80" w:line="276" w:lineRule="auto"/>
        <w:rPr>
          <w:rFonts w:asciiTheme="minorHAnsi" w:eastAsia="Times New Roman" w:hAnsiTheme="minorHAnsi" w:cs="Times New Roman"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color w:val="000000"/>
          <w:lang w:eastAsia="fr-FR"/>
        </w:rPr>
        <w:t>Engagement</w:t>
      </w:r>
      <w:r w:rsidR="00EF3D25" w:rsidRPr="00AF37BA">
        <w:rPr>
          <w:rFonts w:asciiTheme="minorHAnsi" w:eastAsia="Times New Roman" w:hAnsiTheme="minorHAnsi" w:cs="Times New Roman"/>
          <w:color w:val="000000"/>
          <w:lang w:eastAsia="fr-FR"/>
        </w:rPr>
        <w:t xml:space="preserve">, </w:t>
      </w:r>
    </w:p>
    <w:p w14:paraId="7AD48CED" w14:textId="1F0EF1B9" w:rsidR="00AF37BA" w:rsidRDefault="00AF37BA" w:rsidP="00AF37BA">
      <w:pPr>
        <w:pStyle w:val="Paragraphedeliste"/>
        <w:numPr>
          <w:ilvl w:val="0"/>
          <w:numId w:val="4"/>
        </w:numPr>
        <w:spacing w:after="80" w:line="276" w:lineRule="auto"/>
        <w:rPr>
          <w:rFonts w:asciiTheme="minorHAnsi" w:eastAsia="Times New Roman" w:hAnsiTheme="minorHAnsi" w:cs="Times New Roman"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color w:val="000000"/>
          <w:lang w:eastAsia="fr-FR"/>
        </w:rPr>
        <w:t>Coopérations</w:t>
      </w:r>
      <w:r w:rsidR="00EF3D25" w:rsidRPr="00AF37BA">
        <w:rPr>
          <w:rFonts w:asciiTheme="minorHAnsi" w:eastAsia="Times New Roman" w:hAnsiTheme="minorHAnsi" w:cs="Times New Roman"/>
          <w:color w:val="000000"/>
          <w:lang w:eastAsia="fr-FR"/>
        </w:rPr>
        <w:t xml:space="preserve"> plurielles, </w:t>
      </w:r>
    </w:p>
    <w:p w14:paraId="51F32860" w14:textId="34440C34" w:rsidR="00AF37BA" w:rsidRDefault="00AF37BA" w:rsidP="00AF37BA">
      <w:pPr>
        <w:pStyle w:val="Paragraphedeliste"/>
        <w:numPr>
          <w:ilvl w:val="0"/>
          <w:numId w:val="4"/>
        </w:numPr>
        <w:spacing w:after="80" w:line="276" w:lineRule="auto"/>
        <w:rPr>
          <w:rFonts w:asciiTheme="minorHAnsi" w:eastAsia="Times New Roman" w:hAnsiTheme="minorHAnsi" w:cs="Times New Roman"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color w:val="000000"/>
          <w:lang w:eastAsia="fr-FR"/>
        </w:rPr>
        <w:t>Pratiques</w:t>
      </w:r>
      <w:r w:rsidR="00EF3D25" w:rsidRPr="00AF37BA">
        <w:rPr>
          <w:rFonts w:asciiTheme="minorHAnsi" w:eastAsia="Times New Roman" w:hAnsiTheme="minorHAnsi" w:cs="Times New Roman"/>
          <w:color w:val="000000"/>
          <w:lang w:eastAsia="fr-FR"/>
        </w:rPr>
        <w:t xml:space="preserve"> numériques </w:t>
      </w:r>
    </w:p>
    <w:p w14:paraId="4B27A53E" w14:textId="387B6373" w:rsidR="00AF37BA" w:rsidRPr="00AF37BA" w:rsidRDefault="00AF37BA" w:rsidP="00AF37BA">
      <w:pPr>
        <w:pStyle w:val="Paragraphedeliste"/>
        <w:numPr>
          <w:ilvl w:val="0"/>
          <w:numId w:val="4"/>
        </w:numPr>
        <w:spacing w:after="80" w:line="276" w:lineRule="auto"/>
        <w:rPr>
          <w:rFonts w:asciiTheme="minorHAnsi" w:eastAsia="Times New Roman" w:hAnsiTheme="minorHAnsi" w:cs="Times New Roman"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color w:val="000000"/>
          <w:lang w:eastAsia="fr-FR"/>
        </w:rPr>
        <w:t>Transformation</w:t>
      </w:r>
      <w:r w:rsidR="00EF3D25" w:rsidRPr="00AF37BA">
        <w:rPr>
          <w:rFonts w:asciiTheme="minorHAnsi" w:eastAsia="Times New Roman" w:hAnsiTheme="minorHAnsi" w:cs="Times New Roman"/>
          <w:color w:val="000000"/>
          <w:lang w:eastAsia="fr-FR"/>
        </w:rPr>
        <w:t xml:space="preserve"> écologique</w:t>
      </w:r>
      <w:r>
        <w:rPr>
          <w:rFonts w:asciiTheme="minorHAnsi" w:eastAsia="Times New Roman" w:hAnsiTheme="minorHAnsi" w:cs="Times New Roman"/>
          <w:color w:val="000000"/>
          <w:lang w:eastAsia="fr-FR"/>
        </w:rPr>
        <w:t xml:space="preserve"> (cette nouvelle catégorie a été développée en collaboration avec ESS France et France Nature Environnement)</w:t>
      </w:r>
    </w:p>
    <w:p w14:paraId="3DBAD0EA" w14:textId="312FF469" w:rsidR="00AF37BA" w:rsidRPr="00AF37BA" w:rsidRDefault="008223FE" w:rsidP="008F0DAD">
      <w:pPr>
        <w:spacing w:after="80" w:line="276" w:lineRule="auto"/>
        <w:jc w:val="both"/>
        <w:rPr>
          <w:rFonts w:asciiTheme="minorHAnsi" w:eastAsia="Times New Roman" w:hAnsiTheme="minorHAnsi" w:cs="Times New Roman"/>
          <w:color w:val="000000"/>
          <w:lang w:eastAsia="fr-FR"/>
        </w:rPr>
      </w:pPr>
      <w:r w:rsidRPr="008223FE">
        <w:rPr>
          <w:rFonts w:asciiTheme="minorHAnsi" w:eastAsia="Times New Roman" w:hAnsiTheme="minorHAnsi" w:cs="Times New Roman"/>
          <w:color w:val="000000"/>
          <w:lang w:eastAsia="fr-FR"/>
        </w:rPr>
        <w:sym w:font="Wingdings" w:char="F0E0"/>
      </w:r>
      <w:r>
        <w:rPr>
          <w:rFonts w:asciiTheme="minorHAnsi" w:eastAsia="Times New Roman" w:hAnsiTheme="minorHAnsi" w:cs="Times New Roman"/>
          <w:color w:val="000000"/>
          <w:lang w:eastAsia="fr-FR"/>
        </w:rPr>
        <w:t xml:space="preserve"> </w:t>
      </w:r>
      <w:r w:rsidR="00B111AA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Du 13 novembre 2024 au 16 février 2025, 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>les associations qui répondent à l’un ou plusieurs de ces grands enjeux, dans leurs pratiques internes, p</w:t>
      </w:r>
      <w:r w:rsidR="008F0DAD">
        <w:rPr>
          <w:rFonts w:asciiTheme="minorHAnsi" w:eastAsia="Times New Roman" w:hAnsiTheme="minorHAnsi" w:cs="Times New Roman"/>
          <w:color w:val="000000"/>
          <w:lang w:eastAsia="fr-FR"/>
        </w:rPr>
        <w:t>euvent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 candidater. </w:t>
      </w:r>
      <w:r w:rsidR="00487EAC">
        <w:rPr>
          <w:rFonts w:asciiTheme="minorHAnsi" w:eastAsia="Times New Roman" w:hAnsiTheme="minorHAnsi" w:cs="Times New Roman"/>
          <w:color w:val="000000"/>
          <w:lang w:eastAsia="fr-FR"/>
        </w:rPr>
        <w:t>Avec à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 la clé</w:t>
      </w:r>
      <w:r w:rsidR="00C647C4">
        <w:rPr>
          <w:rFonts w:asciiTheme="minorHAnsi" w:eastAsia="Times New Roman" w:hAnsiTheme="minorHAnsi" w:cs="Times New Roman"/>
          <w:color w:val="000000"/>
          <w:lang w:eastAsia="fr-FR"/>
        </w:rPr>
        <w:t xml:space="preserve"> : de la </w:t>
      </w:r>
      <w:r w:rsidR="00B111AA" w:rsidRPr="00D05D27">
        <w:rPr>
          <w:rFonts w:asciiTheme="minorHAnsi" w:eastAsia="Times New Roman" w:hAnsiTheme="minorHAnsi" w:cs="Times New Roman"/>
          <w:color w:val="000000"/>
          <w:lang w:eastAsia="fr-FR"/>
        </w:rPr>
        <w:t>visibilité, de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>s</w:t>
      </w:r>
      <w:r w:rsidR="00B111AA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 ressources et une dotation de 5000 euros</w:t>
      </w:r>
      <w:r w:rsidR="00C647C4">
        <w:rPr>
          <w:rFonts w:asciiTheme="minorHAnsi" w:eastAsia="Times New Roman" w:hAnsiTheme="minorHAnsi" w:cs="Times New Roman"/>
          <w:color w:val="000000"/>
          <w:lang w:eastAsia="fr-FR"/>
        </w:rPr>
        <w:t xml:space="preserve"> pour les associations lauréates et </w:t>
      </w:r>
      <w:r w:rsidR="00EF3D25" w:rsidRPr="00D05D27">
        <w:rPr>
          <w:rFonts w:asciiTheme="minorHAnsi" w:eastAsia="Times New Roman" w:hAnsiTheme="minorHAnsi" w:cs="Times New Roman"/>
          <w:color w:val="000000"/>
          <w:lang w:eastAsia="fr-FR"/>
        </w:rPr>
        <w:t xml:space="preserve">un temps d’accompagnement </w:t>
      </w:r>
      <w:r w:rsidR="00D05D27" w:rsidRPr="00D05D27">
        <w:rPr>
          <w:rFonts w:asciiTheme="minorHAnsi" w:eastAsia="Times New Roman" w:hAnsiTheme="minorHAnsi" w:cs="Times New Roman"/>
          <w:color w:val="000000"/>
          <w:lang w:eastAsia="fr-FR"/>
        </w:rPr>
        <w:t>(rencontre avec des partenaires, ateliers de formation, échanges entre pairs)</w:t>
      </w:r>
      <w:r w:rsidR="00C647C4">
        <w:rPr>
          <w:rFonts w:asciiTheme="minorHAnsi" w:eastAsia="Times New Roman" w:hAnsiTheme="minorHAnsi" w:cs="Times New Roman"/>
          <w:color w:val="000000"/>
          <w:lang w:eastAsia="fr-FR"/>
        </w:rPr>
        <w:t xml:space="preserve"> proposé à toutes les associations candidates.</w:t>
      </w:r>
    </w:p>
    <w:p w14:paraId="0EB398C3" w14:textId="3C3AFAF8" w:rsidR="008F0DAD" w:rsidRPr="00AF37BA" w:rsidRDefault="008F0DAD" w:rsidP="008F0DAD">
      <w:pPr>
        <w:spacing w:after="80" w:line="276" w:lineRule="auto"/>
        <w:jc w:val="both"/>
        <w:rPr>
          <w:rFonts w:asciiTheme="minorHAnsi" w:eastAsia="Times New Roman" w:hAnsiTheme="minorHAnsi" w:cs="Times New Roman"/>
          <w:i/>
          <w:iCs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Les Waldeck, Prix du Mouvement associatif sont organisés 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en partenariat avec le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 </w:t>
      </w:r>
      <w:proofErr w:type="gramStart"/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Ministère</w:t>
      </w:r>
      <w:proofErr w:type="gramEnd"/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 des Sports, de la jeunesse et de la vie associative ; 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le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 Ministère du Travail et de l’Emploi ; 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l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’Agence Nationale de la Cohésion des Territoires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 (ANCT)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 ; 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l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e Mouvement Tilt ; Harmonie Mutuelle ; Groupe Up ; Le Fonds de Coopération de la jeunesse et de l’Education Populaire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 (FONJEP)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 ; </w:t>
      </w:r>
      <w:proofErr w:type="spellStart"/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Hexopée</w:t>
      </w:r>
      <w:proofErr w:type="spellEnd"/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 ; 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l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a MAIF </w:t>
      </w:r>
      <w:r w:rsidR="00AF37BA"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et avec le soutien de</w:t>
      </w:r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 xml:space="preserve"> </w:t>
      </w:r>
      <w:proofErr w:type="spellStart"/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JurisAssociation</w:t>
      </w:r>
      <w:proofErr w:type="spellEnd"/>
      <w:r w:rsidRPr="00AF37BA">
        <w:rPr>
          <w:rFonts w:asciiTheme="minorHAnsi" w:eastAsia="Times New Roman" w:hAnsiTheme="minorHAnsi" w:cs="Times New Roman"/>
          <w:i/>
          <w:iCs/>
          <w:color w:val="000000"/>
          <w:lang w:eastAsia="fr-FR"/>
        </w:rPr>
        <w:t>.</w:t>
      </w:r>
    </w:p>
    <w:p w14:paraId="3F1E7677" w14:textId="77777777" w:rsidR="008F0DAD" w:rsidRPr="00D05D27" w:rsidRDefault="008F0DAD" w:rsidP="00EF3D25">
      <w:pPr>
        <w:spacing w:after="80" w:line="276" w:lineRule="auto"/>
        <w:jc w:val="both"/>
        <w:rPr>
          <w:rFonts w:asciiTheme="minorHAnsi" w:eastAsia="Times New Roman" w:hAnsiTheme="minorHAnsi" w:cs="Times New Roman"/>
          <w:color w:val="000000"/>
          <w:lang w:eastAsia="fr-FR"/>
        </w:rPr>
      </w:pPr>
    </w:p>
    <w:p w14:paraId="4F33AC39" w14:textId="2CFA23AF" w:rsidR="00404B27" w:rsidRPr="00AF37BA" w:rsidRDefault="00D05D27" w:rsidP="00AF37BA">
      <w:pPr>
        <w:spacing w:after="80" w:line="276" w:lineRule="auto"/>
        <w:jc w:val="both"/>
        <w:rPr>
          <w:rFonts w:ascii="Bitter" w:eastAsia="Times New Roman" w:hAnsi="Bitter" w:cs="Times New Roman"/>
          <w:i/>
          <w:iCs/>
          <w:color w:val="000000"/>
          <w:lang w:eastAsia="fr-FR"/>
        </w:rPr>
      </w:pPr>
      <w:r w:rsidRPr="00AF37BA">
        <w:rPr>
          <w:rFonts w:asciiTheme="minorHAnsi" w:eastAsia="Times New Roman" w:hAnsiTheme="minorHAnsi" w:cs="Times New Roman"/>
          <w:i/>
          <w:iCs/>
          <w:color w:val="000000"/>
          <w:highlight w:val="yellow"/>
          <w:lang w:eastAsia="fr-FR"/>
        </w:rPr>
        <w:t>En savoir plus : lemouvementassociatif.org/</w:t>
      </w:r>
      <w:proofErr w:type="spellStart"/>
      <w:r w:rsidRPr="00AF37BA">
        <w:rPr>
          <w:rFonts w:asciiTheme="minorHAnsi" w:eastAsia="Times New Roman" w:hAnsiTheme="minorHAnsi" w:cs="Times New Roman"/>
          <w:i/>
          <w:iCs/>
          <w:color w:val="000000"/>
          <w:highlight w:val="yellow"/>
          <w:lang w:eastAsia="fr-FR"/>
        </w:rPr>
        <w:t>leswaldeck</w:t>
      </w:r>
      <w:proofErr w:type="spellEnd"/>
    </w:p>
    <w:p w14:paraId="4A5E14BC" w14:textId="77777777" w:rsidR="00404B27" w:rsidRDefault="00404B27" w:rsidP="00AF37BA">
      <w:pPr>
        <w:pStyle w:val="Corpsdetexte"/>
        <w:spacing w:before="112"/>
        <w:rPr>
          <w:rFonts w:ascii="Bitter" w:hAnsi="Bitter"/>
          <w:sz w:val="24"/>
          <w:szCs w:val="24"/>
        </w:rPr>
      </w:pPr>
    </w:p>
    <w:p w14:paraId="164E52AE" w14:textId="77777777" w:rsidR="00404B27" w:rsidRDefault="00404B27">
      <w:pPr>
        <w:pStyle w:val="Corpsdetexte"/>
        <w:spacing w:before="112"/>
        <w:rPr>
          <w:rFonts w:ascii="Bitter" w:hAnsi="Bitter"/>
          <w:sz w:val="24"/>
          <w:szCs w:val="24"/>
        </w:rPr>
      </w:pPr>
    </w:p>
    <w:sectPr w:rsidR="00404B27">
      <w:headerReference w:type="default" r:id="rId7"/>
      <w:footerReference w:type="default" r:id="rId8"/>
      <w:pgSz w:w="11910" w:h="16840"/>
      <w:pgMar w:top="2000" w:right="1300" w:bottom="120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8C47" w14:textId="77777777" w:rsidR="00A713A8" w:rsidRDefault="00A713A8">
      <w:r>
        <w:separator/>
      </w:r>
    </w:p>
  </w:endnote>
  <w:endnote w:type="continuationSeparator" w:id="0">
    <w:p w14:paraId="6E8D2605" w14:textId="77777777" w:rsidR="00A713A8" w:rsidRDefault="00A7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ter">
    <w:panose1 w:val="000008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0906" w14:textId="77777777" w:rsidR="002978E2" w:rsidRDefault="00C647C4">
    <w:pPr>
      <w:pStyle w:val="Corpsdetexte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2A8F249A" wp14:editId="507BE16A">
              <wp:simplePos x="0" y="0"/>
              <wp:positionH relativeFrom="page">
                <wp:posOffset>3707005</wp:posOffset>
              </wp:positionH>
              <wp:positionV relativeFrom="page">
                <wp:posOffset>9917381</wp:posOffset>
              </wp:positionV>
              <wp:extent cx="160020" cy="165735"/>
              <wp:effectExtent l="0" t="0" r="11430" b="5715"/>
              <wp:wrapNone/>
              <wp:docPr id="455069123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DE1F4EF" w14:textId="77777777" w:rsidR="002978E2" w:rsidRDefault="00C647C4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rFonts w:ascii="Calibri" w:hAnsi="Calibri"/>
                              <w:color w:val="4471C4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color w:val="4471C4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color w:val="4471C4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color w:val="4471C4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color w:val="4471C4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F249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1.9pt;margin-top:780.9pt;width:12.6pt;height:13.05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" filled="f" stroked="f">
              <v:textbox inset="0,0,0,0">
                <w:txbxContent>
                  <w:p w14:paraId="1DE1F4EF" w14:textId="77777777" w:rsidR="002978E2" w:rsidRDefault="00C647C4">
                    <w:pPr>
                      <w:spacing w:line="245" w:lineRule="exact"/>
                      <w:ind w:left="60"/>
                    </w:pPr>
                    <w:r>
                      <w:rPr>
                        <w:rFonts w:ascii="Calibri" w:hAnsi="Calibri"/>
                        <w:color w:val="4471C4"/>
                        <w:spacing w:val="-10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4471C4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color w:val="4471C4"/>
                        <w:spacing w:val="-10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4471C4"/>
                        <w:spacing w:val="-10"/>
                      </w:rPr>
                      <w:t>1</w:t>
                    </w:r>
                    <w:r>
                      <w:rPr>
                        <w:rFonts w:ascii="Calibri" w:hAnsi="Calibri"/>
                        <w:color w:val="4471C4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3B05D" w14:textId="77777777" w:rsidR="00A713A8" w:rsidRDefault="00A713A8">
      <w:r>
        <w:rPr>
          <w:color w:val="000000"/>
        </w:rPr>
        <w:separator/>
      </w:r>
    </w:p>
  </w:footnote>
  <w:footnote w:type="continuationSeparator" w:id="0">
    <w:p w14:paraId="289A5F10" w14:textId="77777777" w:rsidR="00A713A8" w:rsidRDefault="00A71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733F0" w14:textId="77777777" w:rsidR="002978E2" w:rsidRDefault="00C647C4">
    <w:pPr>
      <w:pStyle w:val="Corpsdetexte"/>
      <w:spacing w:line="12" w:lineRule="aut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B3D1DFB" wp14:editId="62B3E618">
          <wp:simplePos x="0" y="0"/>
          <wp:positionH relativeFrom="page">
            <wp:posOffset>962972</wp:posOffset>
          </wp:positionH>
          <wp:positionV relativeFrom="page">
            <wp:posOffset>451100</wp:posOffset>
          </wp:positionV>
          <wp:extent cx="1511503" cy="801627"/>
          <wp:effectExtent l="0" t="0" r="0" b="0"/>
          <wp:wrapNone/>
          <wp:docPr id="133512605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503" cy="8016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F1D0C"/>
    <w:multiLevelType w:val="multilevel"/>
    <w:tmpl w:val="F8A0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B7C6C"/>
    <w:multiLevelType w:val="multilevel"/>
    <w:tmpl w:val="292491DE"/>
    <w:lvl w:ilvl="0">
      <w:numFmt w:val="bullet"/>
      <w:lvlText w:val=""/>
      <w:lvlJc w:val="left"/>
      <w:pPr>
        <w:ind w:left="836" w:hanging="359"/>
      </w:pPr>
      <w:rPr>
        <w:rFonts w:ascii="Wingdings" w:eastAsia="Wingdings" w:hAnsi="Wingdings" w:cs="Wingdings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numFmt w:val="bullet"/>
      <w:lvlText w:val="•"/>
      <w:lvlJc w:val="left"/>
      <w:pPr>
        <w:ind w:left="1686" w:hanging="359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2533" w:hanging="359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379" w:hanging="359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226" w:hanging="359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073" w:hanging="359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5919" w:hanging="359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6766" w:hanging="359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7613" w:hanging="359"/>
      </w:pPr>
      <w:rPr>
        <w:lang w:val="fr-FR" w:eastAsia="en-US" w:bidi="ar-SA"/>
      </w:rPr>
    </w:lvl>
  </w:abstractNum>
  <w:abstractNum w:abstractNumId="2" w15:restartNumberingAfterBreak="0">
    <w:nsid w:val="3C2068F4"/>
    <w:multiLevelType w:val="multilevel"/>
    <w:tmpl w:val="41F816E6"/>
    <w:lvl w:ilvl="0">
      <w:numFmt w:val="bullet"/>
      <w:lvlText w:val="-"/>
      <w:lvlJc w:val="left"/>
      <w:pPr>
        <w:ind w:left="475" w:hanging="360"/>
      </w:pPr>
      <w:rPr>
        <w:rFonts w:ascii="Bitter" w:eastAsia="Cambria" w:hAnsi="Bitter" w:cs="Cambria"/>
      </w:rPr>
    </w:lvl>
    <w:lvl w:ilvl="1">
      <w:numFmt w:val="bullet"/>
      <w:lvlText w:val="o"/>
      <w:lvlJc w:val="left"/>
      <w:pPr>
        <w:ind w:left="119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1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3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5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7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9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1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35" w:hanging="360"/>
      </w:pPr>
      <w:rPr>
        <w:rFonts w:ascii="Wingdings" w:hAnsi="Wingdings"/>
      </w:rPr>
    </w:lvl>
  </w:abstractNum>
  <w:abstractNum w:abstractNumId="3" w15:restartNumberingAfterBreak="0">
    <w:nsid w:val="5EF764F5"/>
    <w:multiLevelType w:val="hybridMultilevel"/>
    <w:tmpl w:val="F43EABE4"/>
    <w:lvl w:ilvl="0" w:tplc="3B9056E4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336871">
    <w:abstractNumId w:val="1"/>
  </w:num>
  <w:num w:numId="2" w16cid:durableId="1596935247">
    <w:abstractNumId w:val="2"/>
  </w:num>
  <w:num w:numId="3" w16cid:durableId="2073968502">
    <w:abstractNumId w:val="0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4" w16cid:durableId="965620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27"/>
    <w:rsid w:val="001D08B5"/>
    <w:rsid w:val="002326A8"/>
    <w:rsid w:val="002978E2"/>
    <w:rsid w:val="00367BDB"/>
    <w:rsid w:val="00404B27"/>
    <w:rsid w:val="00487EAC"/>
    <w:rsid w:val="008223FE"/>
    <w:rsid w:val="008F0DAD"/>
    <w:rsid w:val="009D0AAC"/>
    <w:rsid w:val="00A713A8"/>
    <w:rsid w:val="00A71B93"/>
    <w:rsid w:val="00AD2145"/>
    <w:rsid w:val="00AF37BA"/>
    <w:rsid w:val="00B111AA"/>
    <w:rsid w:val="00C647C4"/>
    <w:rsid w:val="00C77363"/>
    <w:rsid w:val="00D05D27"/>
    <w:rsid w:val="00DE3093"/>
    <w:rsid w:val="00E44A80"/>
    <w:rsid w:val="00EF3D25"/>
    <w:rsid w:val="00F2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969D"/>
  <w15:docId w15:val="{EA7D9ED9-7EA6-43DC-9D1B-2DBB2AA6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mbria" w:eastAsia="Cambria" w:hAnsi="Cambria" w:cs="Cambria"/>
      <w:lang w:val="fr-FR"/>
    </w:rPr>
  </w:style>
  <w:style w:type="paragraph" w:styleId="Titre1">
    <w:name w:val="heading 1"/>
    <w:basedOn w:val="Normal"/>
    <w:uiPriority w:val="9"/>
    <w:qFormat/>
    <w:pPr>
      <w:ind w:left="115"/>
      <w:jc w:val="both"/>
      <w:outlineLvl w:val="0"/>
    </w:pPr>
    <w:rPr>
      <w:b/>
      <w:bCs/>
      <w:sz w:val="31"/>
      <w:szCs w:val="31"/>
    </w:rPr>
  </w:style>
  <w:style w:type="paragraph" w:styleId="Titre2">
    <w:name w:val="heading 2"/>
    <w:basedOn w:val="Normal"/>
    <w:uiPriority w:val="9"/>
    <w:unhideWhenUsed/>
    <w:qFormat/>
    <w:pPr>
      <w:spacing w:before="1"/>
      <w:ind w:left="113"/>
      <w:jc w:val="both"/>
      <w:outlineLvl w:val="1"/>
    </w:pPr>
    <w:rPr>
      <w:b/>
      <w:bCs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5"/>
      <w:szCs w:val="25"/>
    </w:rPr>
  </w:style>
  <w:style w:type="paragraph" w:styleId="Titre">
    <w:name w:val="Title"/>
    <w:basedOn w:val="Normal"/>
    <w:uiPriority w:val="10"/>
    <w:qFormat/>
    <w:pPr>
      <w:spacing w:before="1"/>
      <w:ind w:left="3434" w:hanging="3033"/>
    </w:pPr>
    <w:rPr>
      <w:sz w:val="45"/>
      <w:szCs w:val="45"/>
    </w:rPr>
  </w:style>
  <w:style w:type="paragraph" w:styleId="Paragraphedeliste">
    <w:name w:val="List Paragraph"/>
    <w:basedOn w:val="Normal"/>
    <w:pPr>
      <w:spacing w:before="2"/>
      <w:ind w:left="398" w:hanging="360"/>
      <w:jc w:val="both"/>
    </w:pPr>
  </w:style>
  <w:style w:type="paragraph" w:customStyle="1" w:styleId="TableParagraph">
    <w:name w:val="Table Paragraph"/>
    <w:basedOn w:val="Normal"/>
  </w:style>
  <w:style w:type="character" w:customStyle="1" w:styleId="Titre2Car">
    <w:name w:val="Titre 2 Car"/>
    <w:basedOn w:val="Policepardfaut"/>
    <w:rPr>
      <w:rFonts w:ascii="Cambria" w:eastAsia="Cambria" w:hAnsi="Cambria" w:cs="Cambria"/>
      <w:b/>
      <w:bCs/>
      <w:sz w:val="25"/>
      <w:szCs w:val="25"/>
      <w:lang w:val="fr-FR"/>
    </w:rPr>
  </w:style>
  <w:style w:type="character" w:customStyle="1" w:styleId="CorpsdetexteCar">
    <w:name w:val="Corps de texte Car"/>
    <w:basedOn w:val="Policepardfaut"/>
    <w:rPr>
      <w:rFonts w:ascii="Cambria" w:eastAsia="Cambria" w:hAnsi="Cambria" w:cs="Cambria"/>
      <w:sz w:val="25"/>
      <w:szCs w:val="25"/>
      <w:lang w:val="fr-FR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rPr>
      <w:rFonts w:ascii="Cambria" w:eastAsia="Cambria" w:hAnsi="Cambria" w:cs="Cambria"/>
      <w:lang w:val="fr-FR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rPr>
      <w:rFonts w:ascii="Cambria" w:eastAsia="Cambria" w:hAnsi="Cambria" w:cs="Cambri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Suchet</dc:creator>
  <cp:lastModifiedBy>Fula Mesika</cp:lastModifiedBy>
  <cp:revision>4</cp:revision>
  <dcterms:created xsi:type="dcterms:W3CDTF">2024-10-04T06:32:00Z</dcterms:created>
  <dcterms:modified xsi:type="dcterms:W3CDTF">2024-11-12T23:31:00Z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2024-05-22T00:00:00Z</vt:filetime>
  </property>
  <property fmtid="{D5CDD505-2E9C-101B-9397-08002B2CF9AE}" pid="5" name="Producer">
    <vt:lpwstr>Microsoft® Word pour Microsoft 365</vt:lpwstr>
  </property>
</Properties>
</file>